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218A064" wp14:editId="15CE024F">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97.25pt" o:ole="">
            <v:imagedata r:id="rId9" o:title=""/>
          </v:shape>
          <o:OLEObject Type="Embed" ProgID="Imaging.Document" ShapeID="_x0000_i1025" DrawAspect="Content" ObjectID="_1503474816"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1115"/>
        <w:gridCol w:w="1080"/>
        <w:gridCol w:w="749"/>
        <w:gridCol w:w="1715"/>
        <w:gridCol w:w="716"/>
        <w:gridCol w:w="1127"/>
        <w:gridCol w:w="1672"/>
        <w:gridCol w:w="29"/>
        <w:gridCol w:w="2380"/>
        <w:gridCol w:w="1418"/>
        <w:gridCol w:w="29"/>
      </w:tblGrid>
      <w:tr w:rsidR="001F515A" w:rsidRPr="001F515A" w:rsidTr="009E13FC">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9E13FC" w:rsidP="001F515A">
            <w:pPr>
              <w:rPr>
                <w:rFonts w:ascii="Arial" w:hAnsi="Arial" w:cs="Arial"/>
                <w:b/>
                <w:bCs/>
                <w:szCs w:val="20"/>
                <w:lang w:eastAsia="en-US"/>
              </w:rPr>
            </w:pPr>
            <w:r>
              <w:rPr>
                <w:rFonts w:ascii="Arial" w:hAnsi="Arial" w:cs="Arial"/>
                <w:b/>
                <w:bCs/>
                <w:szCs w:val="20"/>
                <w:lang w:eastAsia="en-US"/>
              </w:rPr>
              <w:t>Environmental Development</w:t>
            </w:r>
          </w:p>
        </w:tc>
        <w:tc>
          <w:tcPr>
            <w:tcW w:w="610" w:type="dxa"/>
          </w:tcPr>
          <w:p w:rsidR="001F515A" w:rsidRPr="001F515A" w:rsidRDefault="001F515A" w:rsidP="001F515A">
            <w:pPr>
              <w:rPr>
                <w:rFonts w:ascii="Arial" w:hAnsi="Arial" w:cs="Arial"/>
                <w:b/>
                <w:bCs/>
                <w:szCs w:val="20"/>
                <w:lang w:eastAsia="en-US"/>
              </w:rPr>
            </w:pPr>
          </w:p>
        </w:tc>
        <w:tc>
          <w:tcPr>
            <w:tcW w:w="1966"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9E13FC" w:rsidP="001F515A">
            <w:pPr>
              <w:rPr>
                <w:rFonts w:ascii="Arial" w:hAnsi="Arial" w:cs="Arial"/>
                <w:b/>
                <w:bCs/>
                <w:szCs w:val="20"/>
                <w:lang w:eastAsia="en-US"/>
              </w:rPr>
            </w:pPr>
            <w:r>
              <w:rPr>
                <w:rFonts w:ascii="Arial" w:hAnsi="Arial" w:cs="Arial"/>
                <w:b/>
                <w:bCs/>
                <w:szCs w:val="20"/>
                <w:lang w:eastAsia="en-US"/>
              </w:rPr>
              <w:t>Environmental Health</w:t>
            </w:r>
          </w:p>
        </w:tc>
        <w:tc>
          <w:tcPr>
            <w:tcW w:w="1829"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30670D" w:rsidP="0030670D">
            <w:pPr>
              <w:rPr>
                <w:rFonts w:ascii="Arial" w:hAnsi="Arial" w:cs="Arial"/>
                <w:b/>
                <w:bCs/>
                <w:szCs w:val="20"/>
                <w:lang w:eastAsia="en-US"/>
              </w:rPr>
            </w:pPr>
            <w:r>
              <w:rPr>
                <w:rFonts w:ascii="Arial" w:hAnsi="Arial" w:cs="Arial"/>
                <w:b/>
                <w:bCs/>
                <w:szCs w:val="20"/>
                <w:lang w:eastAsia="en-US"/>
              </w:rPr>
              <w:t>31</w:t>
            </w:r>
            <w:r w:rsidR="009E13FC">
              <w:rPr>
                <w:rFonts w:ascii="Arial" w:hAnsi="Arial" w:cs="Arial"/>
                <w:b/>
                <w:bCs/>
                <w:szCs w:val="20"/>
                <w:lang w:eastAsia="en-US"/>
              </w:rPr>
              <w:t>/0</w:t>
            </w:r>
            <w:r>
              <w:rPr>
                <w:rFonts w:ascii="Arial" w:hAnsi="Arial" w:cs="Arial"/>
                <w:b/>
                <w:bCs/>
                <w:szCs w:val="20"/>
                <w:lang w:eastAsia="en-US"/>
              </w:rPr>
              <w:t>8</w:t>
            </w:r>
            <w:r w:rsidR="009E13FC">
              <w:rPr>
                <w:rFonts w:ascii="Arial" w:hAnsi="Arial" w:cs="Arial"/>
                <w:b/>
                <w:bCs/>
                <w:szCs w:val="20"/>
                <w:lang w:eastAsia="en-US"/>
              </w:rPr>
              <w:t>/2015</w:t>
            </w: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9E13FC" w:rsidP="001F515A">
            <w:pPr>
              <w:rPr>
                <w:rFonts w:ascii="Arial" w:hAnsi="Arial" w:cs="Arial"/>
                <w:b/>
                <w:bCs/>
                <w:szCs w:val="20"/>
                <w:lang w:eastAsia="en-US"/>
              </w:rPr>
            </w:pPr>
            <w:r>
              <w:rPr>
                <w:rFonts w:ascii="Arial" w:hAnsi="Arial" w:cs="Arial"/>
                <w:b/>
                <w:bCs/>
                <w:szCs w:val="20"/>
                <w:lang w:eastAsia="en-US"/>
              </w:rPr>
              <w:t>Adrian Chowns</w:t>
            </w:r>
          </w:p>
          <w:p w:rsidR="001F515A" w:rsidRPr="001F515A" w:rsidRDefault="001F515A" w:rsidP="001F515A">
            <w:pPr>
              <w:rPr>
                <w:rFonts w:ascii="Arial" w:hAnsi="Arial" w:cs="Arial"/>
                <w:b/>
                <w:bCs/>
                <w:szCs w:val="20"/>
                <w:lang w:eastAsia="en-US"/>
              </w:rPr>
            </w:pPr>
          </w:p>
        </w:tc>
        <w:tc>
          <w:tcPr>
            <w:tcW w:w="5528" w:type="dxa"/>
            <w:gridSpan w:val="5"/>
          </w:tcPr>
          <w:p w:rsidR="001F515A" w:rsidRPr="001F515A" w:rsidRDefault="001F515A" w:rsidP="001F515A">
            <w:pPr>
              <w:rPr>
                <w:rFonts w:ascii="Arial" w:hAnsi="Arial" w:cs="Arial"/>
                <w:b/>
                <w:bCs/>
                <w:szCs w:val="20"/>
                <w:lang w:eastAsia="en-US"/>
              </w:rPr>
            </w:pPr>
          </w:p>
          <w:p w:rsid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9E13FC" w:rsidRPr="001F515A" w:rsidRDefault="0030670D" w:rsidP="001F515A">
            <w:pPr>
              <w:rPr>
                <w:rFonts w:ascii="Arial" w:hAnsi="Arial" w:cs="Arial"/>
                <w:b/>
                <w:bCs/>
                <w:szCs w:val="20"/>
                <w:lang w:eastAsia="en-US"/>
              </w:rPr>
            </w:pPr>
            <w:r>
              <w:rPr>
                <w:rFonts w:ascii="Arial" w:hAnsi="Arial" w:cs="Arial"/>
                <w:b/>
                <w:bCs/>
                <w:szCs w:val="20"/>
                <w:lang w:eastAsia="en-US"/>
              </w:rPr>
              <w:t>0</w:t>
            </w:r>
            <w:r w:rsidR="009E13FC">
              <w:rPr>
                <w:rFonts w:ascii="Arial" w:hAnsi="Arial" w:cs="Arial"/>
                <w:b/>
                <w:bCs/>
                <w:szCs w:val="20"/>
                <w:lang w:eastAsia="en-US"/>
              </w:rPr>
              <w:t>7/0</w:t>
            </w:r>
            <w:r>
              <w:rPr>
                <w:rFonts w:ascii="Arial" w:hAnsi="Arial" w:cs="Arial"/>
                <w:b/>
                <w:bCs/>
                <w:szCs w:val="20"/>
                <w:lang w:eastAsia="en-US"/>
              </w:rPr>
              <w:t>9</w:t>
            </w:r>
            <w:r w:rsidR="009E13FC">
              <w:rPr>
                <w:rFonts w:ascii="Arial" w:hAnsi="Arial" w:cs="Arial"/>
                <w:b/>
                <w:bCs/>
                <w:szCs w:val="20"/>
                <w:lang w:eastAsia="en-US"/>
              </w:rPr>
              <w:t>/2015</w:t>
            </w:r>
          </w:p>
          <w:p w:rsidR="001F515A" w:rsidRPr="001F515A" w:rsidRDefault="001F515A" w:rsidP="001F515A">
            <w:pPr>
              <w:rPr>
                <w:rFonts w:ascii="Arial" w:hAnsi="Arial" w:cs="Arial"/>
                <w:b/>
                <w:bCs/>
                <w:szCs w:val="20"/>
                <w:lang w:eastAsia="en-US"/>
              </w:rPr>
            </w:pPr>
          </w:p>
          <w:p w:rsidR="001F515A" w:rsidRPr="001F515A" w:rsidRDefault="001F515A" w:rsidP="001F515A">
            <w:pPr>
              <w:ind w:left="360"/>
              <w:rPr>
                <w:rFonts w:ascii="Arial" w:hAnsi="Arial" w:cs="Arial"/>
                <w:b/>
                <w:bCs/>
                <w:szCs w:val="20"/>
                <w:lang w:eastAsia="en-US"/>
              </w:rPr>
            </w:pPr>
          </w:p>
        </w:tc>
      </w:tr>
      <w:tr w:rsidR="001F515A" w:rsidRPr="001F515A" w:rsidTr="009E13FC">
        <w:tc>
          <w:tcPr>
            <w:tcW w:w="4484"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10"/>
          </w:tcPr>
          <w:p w:rsidR="001F515A" w:rsidRPr="001F515A" w:rsidRDefault="001F515A" w:rsidP="001F515A">
            <w:pPr>
              <w:rPr>
                <w:rFonts w:ascii="Arial" w:hAnsi="Arial" w:cs="Arial"/>
                <w:szCs w:val="20"/>
                <w:lang w:eastAsia="en-US"/>
              </w:rPr>
            </w:pPr>
          </w:p>
          <w:p w:rsidR="001F515A" w:rsidRPr="001F515A" w:rsidRDefault="009E13FC" w:rsidP="0030670D">
            <w:pPr>
              <w:rPr>
                <w:rFonts w:ascii="Arial" w:hAnsi="Arial" w:cs="Arial"/>
                <w:szCs w:val="20"/>
                <w:lang w:eastAsia="en-US"/>
              </w:rPr>
            </w:pPr>
            <w:r>
              <w:rPr>
                <w:rFonts w:ascii="Arial" w:hAnsi="Arial" w:cs="Arial"/>
                <w:szCs w:val="20"/>
                <w:lang w:eastAsia="en-US"/>
              </w:rPr>
              <w:t xml:space="preserve">CEB Report: </w:t>
            </w:r>
            <w:r w:rsidR="0030670D">
              <w:rPr>
                <w:rFonts w:ascii="Arial" w:hAnsi="Arial" w:cs="Arial"/>
                <w:szCs w:val="20"/>
                <w:lang w:eastAsia="en-US"/>
              </w:rPr>
              <w:t>Results of Consultation of HMO Licensing</w:t>
            </w:r>
          </w:p>
        </w:tc>
      </w:tr>
      <w:tr w:rsidR="001F515A" w:rsidRPr="001F515A" w:rsidTr="009E13FC">
        <w:trPr>
          <w:cantSplit/>
        </w:trPr>
        <w:tc>
          <w:tcPr>
            <w:tcW w:w="4484"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Race</w:t>
            </w:r>
          </w:p>
          <w:p w:rsidR="001F515A" w:rsidRPr="001F515A" w:rsidRDefault="001F515A" w:rsidP="001F515A">
            <w:pPr>
              <w:jc w:val="center"/>
              <w:rPr>
                <w:rFonts w:ascii="Arial" w:hAnsi="Arial" w:cs="Arial"/>
                <w:b/>
                <w:i/>
                <w:iCs/>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Disability</w:t>
            </w:r>
          </w:p>
          <w:p w:rsidR="001F515A" w:rsidRPr="001F515A" w:rsidRDefault="001F515A" w:rsidP="001F515A">
            <w:pPr>
              <w:jc w:val="center"/>
              <w:rPr>
                <w:rFonts w:ascii="Arial" w:hAnsi="Arial" w:cs="Arial"/>
                <w:b/>
                <w:i/>
                <w:iCs/>
                <w:szCs w:val="20"/>
                <w:lang w:eastAsia="en-US"/>
              </w:rPr>
            </w:pP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p w:rsidR="001F515A" w:rsidRPr="001F515A" w:rsidRDefault="001F515A" w:rsidP="001F515A">
            <w:pPr>
              <w:jc w:val="center"/>
              <w:rPr>
                <w:rFonts w:ascii="Arial" w:hAnsi="Arial" w:cs="Arial"/>
                <w:b/>
                <w:i/>
                <w:iCs/>
                <w:szCs w:val="20"/>
                <w:lang w:eastAsia="en-US"/>
              </w:rPr>
            </w:pPr>
          </w:p>
        </w:tc>
      </w:tr>
      <w:tr w:rsidR="001F515A" w:rsidRPr="001F515A" w:rsidTr="009E13FC">
        <w:trPr>
          <w:cantSplit/>
        </w:trPr>
        <w:tc>
          <w:tcPr>
            <w:tcW w:w="4484" w:type="dxa"/>
            <w:gridSpan w:val="4"/>
            <w:vMerge/>
          </w:tcPr>
          <w:p w:rsidR="001F515A" w:rsidRPr="001F515A" w:rsidRDefault="001F515A" w:rsidP="001F515A">
            <w:pPr>
              <w:rPr>
                <w:rFonts w:ascii="Arial" w:hAnsi="Arial" w:cs="Arial"/>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Gender</w:t>
            </w:r>
          </w:p>
          <w:p w:rsidR="001F515A" w:rsidRPr="001F515A" w:rsidRDefault="001F515A" w:rsidP="001F515A">
            <w:pPr>
              <w:jc w:val="center"/>
              <w:rPr>
                <w:rFonts w:ascii="Arial" w:hAnsi="Arial" w:cs="Arial"/>
                <w:b/>
                <w:i/>
                <w:iCs/>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Religion or  Belief</w:t>
            </w:r>
          </w:p>
          <w:p w:rsidR="001F515A" w:rsidRPr="001F515A" w:rsidRDefault="001F515A" w:rsidP="001F515A">
            <w:pPr>
              <w:jc w:val="center"/>
              <w:rPr>
                <w:rFonts w:ascii="Arial" w:hAnsi="Arial" w:cs="Arial"/>
                <w:b/>
                <w:i/>
                <w:iCs/>
                <w:szCs w:val="20"/>
                <w:lang w:eastAsia="en-US"/>
              </w:rPr>
            </w:pP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p w:rsidR="001F515A" w:rsidRPr="001F515A" w:rsidRDefault="001F515A" w:rsidP="001F515A">
            <w:pPr>
              <w:jc w:val="center"/>
              <w:rPr>
                <w:rFonts w:ascii="Arial" w:hAnsi="Arial" w:cs="Arial"/>
                <w:b/>
                <w:i/>
                <w:iCs/>
                <w:szCs w:val="20"/>
                <w:lang w:eastAsia="en-US"/>
              </w:rPr>
            </w:pPr>
          </w:p>
        </w:tc>
      </w:tr>
      <w:tr w:rsidR="001F515A" w:rsidRPr="001F515A" w:rsidTr="009E13FC">
        <w:trPr>
          <w:cantSplit/>
        </w:trPr>
        <w:tc>
          <w:tcPr>
            <w:tcW w:w="4484"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Safeguarding/ Welfare of Children and vulnerable adults</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Mental Wellbeing/ Community Resilience</w:t>
            </w: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b/>
                <w:szCs w:val="20"/>
                <w:lang w:eastAsia="en-US"/>
              </w:rPr>
            </w:pPr>
            <w:r w:rsidRPr="001F515A">
              <w:rPr>
                <w:rFonts w:ascii="Arial" w:hAnsi="Arial" w:cs="Arial"/>
                <w:b/>
                <w:szCs w:val="20"/>
                <w:lang w:eastAsia="en-US"/>
              </w:rPr>
              <w:t>2. Background:</w:t>
            </w: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8B2621">
            <w:pPr>
              <w:autoSpaceDE w:val="0"/>
              <w:autoSpaceDN w:val="0"/>
              <w:adjustRightInd w:val="0"/>
              <w:rPr>
                <w:rFonts w:ascii="Arial" w:hAnsi="Arial" w:cs="Arial"/>
                <w:color w:val="000000"/>
                <w:sz w:val="23"/>
                <w:szCs w:val="23"/>
              </w:rPr>
            </w:pPr>
          </w:p>
          <w:p w:rsidR="001D6522" w:rsidRPr="001F515A" w:rsidRDefault="001D6522" w:rsidP="008B2621">
            <w:pPr>
              <w:autoSpaceDE w:val="0"/>
              <w:autoSpaceDN w:val="0"/>
              <w:adjustRightInd w:val="0"/>
              <w:rPr>
                <w:rFonts w:ascii="Arial" w:hAnsi="Arial" w:cs="Arial"/>
                <w:szCs w:val="20"/>
                <w:lang w:eastAsia="en-US"/>
              </w:rPr>
            </w:pPr>
            <w:r>
              <w:rPr>
                <w:rFonts w:ascii="Arial" w:hAnsi="Arial" w:cs="Arial"/>
                <w:szCs w:val="20"/>
                <w:lang w:eastAsia="en-US"/>
              </w:rPr>
              <w:t xml:space="preserve">A statutory consultation project of 10 weeks </w:t>
            </w:r>
            <w:r w:rsidR="0030670D">
              <w:rPr>
                <w:rFonts w:ascii="Arial" w:hAnsi="Arial" w:cs="Arial"/>
                <w:szCs w:val="20"/>
                <w:lang w:eastAsia="en-US"/>
              </w:rPr>
              <w:t xml:space="preserve">is now complete and the new scheme (if approved) will be required to be designated and advertised for a minimum 12 weeks. The </w:t>
            </w:r>
            <w:r>
              <w:rPr>
                <w:rFonts w:ascii="Arial" w:hAnsi="Arial" w:cs="Arial"/>
                <w:szCs w:val="20"/>
                <w:lang w:eastAsia="en-US"/>
              </w:rPr>
              <w:t>deliver</w:t>
            </w:r>
            <w:r w:rsidR="0030670D">
              <w:rPr>
                <w:rFonts w:ascii="Arial" w:hAnsi="Arial" w:cs="Arial"/>
                <w:szCs w:val="20"/>
                <w:lang w:eastAsia="en-US"/>
              </w:rPr>
              <w:t>y of this is governed by extremely tight timescales and Phase 1 of</w:t>
            </w:r>
            <w:r>
              <w:rPr>
                <w:rFonts w:ascii="Arial" w:hAnsi="Arial" w:cs="Arial"/>
                <w:szCs w:val="20"/>
                <w:lang w:eastAsia="en-US"/>
              </w:rPr>
              <w:t xml:space="preserve"> the Scheme is due to expire in January 2016</w:t>
            </w:r>
            <w:r w:rsidR="0030670D">
              <w:rPr>
                <w:rFonts w:ascii="Arial" w:hAnsi="Arial" w:cs="Arial"/>
                <w:szCs w:val="20"/>
                <w:lang w:eastAsia="en-US"/>
              </w:rPr>
              <w:t>. F</w:t>
            </w:r>
            <w:r>
              <w:rPr>
                <w:rFonts w:ascii="Arial" w:hAnsi="Arial" w:cs="Arial"/>
                <w:szCs w:val="20"/>
                <w:lang w:eastAsia="en-US"/>
              </w:rPr>
              <w:t xml:space="preserve">ailure to make a new designation could result in certain parts of the sector being regulated and other parts not regulated. This may also put </w:t>
            </w:r>
            <w:r w:rsidR="0030670D">
              <w:rPr>
                <w:rFonts w:ascii="Arial" w:hAnsi="Arial" w:cs="Arial"/>
                <w:szCs w:val="20"/>
                <w:lang w:eastAsia="en-US"/>
              </w:rPr>
              <w:t xml:space="preserve">all </w:t>
            </w:r>
            <w:r>
              <w:rPr>
                <w:rFonts w:ascii="Arial" w:hAnsi="Arial" w:cs="Arial"/>
                <w:szCs w:val="20"/>
                <w:lang w:eastAsia="en-US"/>
              </w:rPr>
              <w:t xml:space="preserve">occupiers </w:t>
            </w:r>
            <w:r w:rsidR="0030670D">
              <w:rPr>
                <w:rFonts w:ascii="Arial" w:hAnsi="Arial" w:cs="Arial"/>
                <w:szCs w:val="20"/>
                <w:lang w:eastAsia="en-US"/>
              </w:rPr>
              <w:t xml:space="preserve">of these type of HMOs </w:t>
            </w:r>
            <w:r>
              <w:rPr>
                <w:rFonts w:ascii="Arial" w:hAnsi="Arial" w:cs="Arial"/>
                <w:szCs w:val="20"/>
                <w:lang w:eastAsia="en-US"/>
              </w:rPr>
              <w:t xml:space="preserve">at risk.   </w:t>
            </w:r>
          </w:p>
          <w:p w:rsidR="001D6522" w:rsidRPr="001F515A" w:rsidRDefault="001D6522" w:rsidP="008B2621">
            <w:pPr>
              <w:autoSpaceDE w:val="0"/>
              <w:autoSpaceDN w:val="0"/>
              <w:adjustRightInd w:val="0"/>
              <w:rPr>
                <w:rFonts w:ascii="Arial" w:hAnsi="Arial" w:cs="Arial"/>
                <w:szCs w:val="20"/>
                <w:lang w:eastAsia="en-US"/>
              </w:rPr>
            </w:pPr>
          </w:p>
          <w:p w:rsidR="001D6522" w:rsidRPr="001F515A" w:rsidRDefault="001D6522" w:rsidP="008B2621">
            <w:pPr>
              <w:autoSpaceDE w:val="0"/>
              <w:autoSpaceDN w:val="0"/>
              <w:adjustRightInd w:val="0"/>
              <w:rPr>
                <w:rFonts w:ascii="Arial" w:hAnsi="Arial" w:cs="Arial"/>
              </w:rPr>
            </w:pPr>
          </w:p>
        </w:tc>
      </w:tr>
      <w:tr w:rsidR="001D6522" w:rsidRPr="001F515A" w:rsidTr="009E13FC">
        <w:tc>
          <w:tcPr>
            <w:tcW w:w="4484" w:type="dxa"/>
            <w:gridSpan w:val="4"/>
          </w:tcPr>
          <w:p w:rsidR="001D6522" w:rsidRPr="001F515A" w:rsidRDefault="001D6522" w:rsidP="001F515A">
            <w:pPr>
              <w:rPr>
                <w:rFonts w:ascii="Arial" w:hAnsi="Arial" w:cs="Arial"/>
                <w:b/>
                <w:snapToGrid w:val="0"/>
                <w:color w:val="000000"/>
                <w:szCs w:val="20"/>
                <w:lang w:eastAsia="en-US"/>
              </w:rPr>
            </w:pPr>
          </w:p>
          <w:p w:rsidR="001D6522" w:rsidRPr="001F515A" w:rsidRDefault="001D6522"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D6522" w:rsidRPr="001F515A" w:rsidRDefault="001D6522" w:rsidP="001F515A">
            <w:pPr>
              <w:rPr>
                <w:rFonts w:ascii="Arial" w:hAnsi="Arial" w:cs="Arial"/>
                <w:snapToGrid w:val="0"/>
                <w:color w:val="000000"/>
                <w:szCs w:val="20"/>
                <w:lang w:eastAsia="en-US"/>
              </w:rPr>
            </w:pPr>
          </w:p>
          <w:p w:rsidR="001D6522" w:rsidRPr="001F515A" w:rsidRDefault="001D6522"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D6522" w:rsidRPr="001F515A" w:rsidRDefault="001D6522" w:rsidP="001F515A">
            <w:pPr>
              <w:rPr>
                <w:rFonts w:ascii="Arial" w:hAnsi="Arial" w:cs="Arial"/>
                <w:szCs w:val="20"/>
                <w:lang w:eastAsia="en-US"/>
              </w:rPr>
            </w:pPr>
          </w:p>
        </w:tc>
        <w:tc>
          <w:tcPr>
            <w:tcW w:w="10915" w:type="dxa"/>
            <w:gridSpan w:val="10"/>
          </w:tcPr>
          <w:p w:rsidR="001D6522" w:rsidRPr="004467C6" w:rsidRDefault="001D6522" w:rsidP="001F515A">
            <w:pPr>
              <w:rPr>
                <w:rFonts w:ascii="Arial" w:hAnsi="Arial" w:cs="Arial"/>
                <w:szCs w:val="20"/>
                <w:lang w:eastAsia="en-US"/>
              </w:rPr>
            </w:pPr>
          </w:p>
          <w:p w:rsidR="001D6522" w:rsidRDefault="001D6522" w:rsidP="004467C6">
            <w:pPr>
              <w:rPr>
                <w:rFonts w:ascii="Arial" w:hAnsi="Arial" w:cs="Arial"/>
                <w:szCs w:val="20"/>
                <w:lang w:eastAsia="en-US"/>
              </w:rPr>
            </w:pPr>
            <w:r w:rsidRPr="004467C6">
              <w:rPr>
                <w:rFonts w:ascii="Arial" w:hAnsi="Arial" w:cs="Arial"/>
                <w:szCs w:val="20"/>
                <w:lang w:eastAsia="en-US"/>
              </w:rPr>
              <w:t>An assessment on the proportion of lan</w:t>
            </w:r>
            <w:r w:rsidR="004467C6">
              <w:rPr>
                <w:rFonts w:ascii="Arial" w:hAnsi="Arial" w:cs="Arial"/>
                <w:szCs w:val="20"/>
                <w:lang w:eastAsia="en-US"/>
              </w:rPr>
              <w:t>dlords from BME groups has indicated that 25% are of Asian origin. This group make up 10% of the population of Oxford as a whole.</w:t>
            </w:r>
            <w:r w:rsidR="008B2621">
              <w:rPr>
                <w:rFonts w:ascii="Arial" w:hAnsi="Arial" w:cs="Arial"/>
                <w:szCs w:val="20"/>
                <w:lang w:eastAsia="en-US"/>
              </w:rPr>
              <w:t xml:space="preserve"> </w:t>
            </w:r>
            <w:r w:rsidR="00B00D85">
              <w:rPr>
                <w:rFonts w:ascii="Arial" w:hAnsi="Arial" w:cs="Arial"/>
                <w:szCs w:val="20"/>
                <w:lang w:eastAsia="en-US"/>
              </w:rPr>
              <w:t>This remains the case following the completion of the consultation.</w:t>
            </w:r>
          </w:p>
          <w:p w:rsidR="008B2621" w:rsidRDefault="008B2621" w:rsidP="004467C6">
            <w:pPr>
              <w:rPr>
                <w:rFonts w:ascii="Arial" w:hAnsi="Arial" w:cs="Arial"/>
                <w:szCs w:val="20"/>
                <w:lang w:eastAsia="en-US"/>
              </w:rPr>
            </w:pPr>
          </w:p>
          <w:p w:rsidR="008B2621" w:rsidRPr="004467C6" w:rsidRDefault="008B2621" w:rsidP="00DF1136">
            <w:pPr>
              <w:rPr>
                <w:rFonts w:ascii="Arial" w:hAnsi="Arial" w:cs="Arial"/>
                <w:szCs w:val="20"/>
                <w:lang w:eastAsia="en-US"/>
              </w:rPr>
            </w:pPr>
            <w:r>
              <w:rPr>
                <w:rFonts w:ascii="Arial" w:hAnsi="Arial" w:cs="Arial"/>
                <w:szCs w:val="20"/>
                <w:lang w:eastAsia="en-US"/>
              </w:rPr>
              <w:t>The profile of the PRS in Oxford has changed considerably since the introduction of the Scheme. Oxford is now the least affordable City to live in and has the highest proportion of young people. High house prices create a situation where they are unlikely to be able to access home ownership consequently the PRS is the most viable option and sharing reduces the cost of accommodation further.</w:t>
            </w:r>
            <w:r w:rsidR="00B00D85">
              <w:rPr>
                <w:rFonts w:ascii="Arial" w:hAnsi="Arial" w:cs="Arial"/>
                <w:szCs w:val="20"/>
                <w:lang w:eastAsia="en-US"/>
              </w:rPr>
              <w:t xml:space="preserve"> </w:t>
            </w:r>
          </w:p>
        </w:tc>
      </w:tr>
      <w:tr w:rsidR="001D6522" w:rsidRPr="001F515A" w:rsidTr="009E13FC">
        <w:tc>
          <w:tcPr>
            <w:tcW w:w="4484" w:type="dxa"/>
            <w:gridSpan w:val="4"/>
          </w:tcPr>
          <w:p w:rsidR="001D6522" w:rsidRPr="001F515A" w:rsidRDefault="001D6522" w:rsidP="001F515A">
            <w:pPr>
              <w:rPr>
                <w:rFonts w:ascii="Arial" w:hAnsi="Arial" w:cs="Arial"/>
                <w:bCs/>
                <w:szCs w:val="20"/>
                <w:lang w:eastAsia="en-US"/>
              </w:rPr>
            </w:pPr>
            <w:r w:rsidRPr="001F515A">
              <w:rPr>
                <w:rFonts w:ascii="Arial" w:hAnsi="Arial" w:cs="Arial"/>
                <w:b/>
                <w:szCs w:val="20"/>
                <w:lang w:eastAsia="en-US"/>
              </w:rPr>
              <w:t>4. Consultation</w:t>
            </w:r>
          </w:p>
          <w:p w:rsidR="001D6522" w:rsidRPr="001F515A" w:rsidRDefault="001D6522" w:rsidP="001F515A">
            <w:pPr>
              <w:rPr>
                <w:rFonts w:ascii="Arial" w:hAnsi="Arial" w:cs="Arial"/>
                <w:bCs/>
                <w:szCs w:val="20"/>
                <w:lang w:eastAsia="en-US"/>
              </w:rPr>
            </w:pPr>
          </w:p>
          <w:p w:rsidR="001D6522" w:rsidRPr="001F515A" w:rsidRDefault="001D6522"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D6522" w:rsidRPr="001F515A" w:rsidRDefault="001D6522"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An assessment of your proposed policy (or policy options) in the </w:t>
            </w:r>
            <w:r w:rsidRPr="001F515A">
              <w:rPr>
                <w:rFonts w:ascii="Arial" w:hAnsi="Arial"/>
                <w:szCs w:val="20"/>
                <w:lang w:eastAsia="en-US"/>
              </w:rPr>
              <w:lastRenderedPageBreak/>
              <w:t>light of the responses you received.</w:t>
            </w:r>
          </w:p>
          <w:p w:rsidR="001D6522" w:rsidRPr="001F515A" w:rsidRDefault="001D6522"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10"/>
          </w:tcPr>
          <w:p w:rsidR="001D6522"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r>
              <w:rPr>
                <w:rFonts w:ascii="Arial" w:hAnsi="Arial" w:cs="Arial"/>
                <w:szCs w:val="20"/>
                <w:lang w:eastAsia="en-US"/>
              </w:rPr>
              <w:t>If the recommendations of the CEB report are supported then officers will proceed with the 1</w:t>
            </w:r>
            <w:r w:rsidR="00DF1136">
              <w:rPr>
                <w:rFonts w:ascii="Arial" w:hAnsi="Arial" w:cs="Arial"/>
                <w:szCs w:val="20"/>
                <w:lang w:eastAsia="en-US"/>
              </w:rPr>
              <w:t>2</w:t>
            </w:r>
            <w:r>
              <w:rPr>
                <w:rFonts w:ascii="Arial" w:hAnsi="Arial" w:cs="Arial"/>
                <w:szCs w:val="20"/>
                <w:lang w:eastAsia="en-US"/>
              </w:rPr>
              <w:t xml:space="preserve"> week statutory </w:t>
            </w:r>
            <w:r w:rsidR="00DF1136">
              <w:rPr>
                <w:rFonts w:ascii="Arial" w:hAnsi="Arial" w:cs="Arial"/>
                <w:szCs w:val="20"/>
                <w:lang w:eastAsia="en-US"/>
              </w:rPr>
              <w:t>designation and public notices will be released in accordance with the legislation</w:t>
            </w:r>
            <w:r>
              <w:rPr>
                <w:rFonts w:ascii="Arial" w:hAnsi="Arial" w:cs="Arial"/>
                <w:szCs w:val="20"/>
                <w:lang w:eastAsia="en-US"/>
              </w:rPr>
              <w:t>.</w:t>
            </w:r>
          </w:p>
          <w:p w:rsidR="008B2621" w:rsidRDefault="008B2621" w:rsidP="001F515A">
            <w:pPr>
              <w:rPr>
                <w:rFonts w:ascii="Arial" w:hAnsi="Arial" w:cs="Arial"/>
                <w:szCs w:val="20"/>
                <w:lang w:eastAsia="en-US"/>
              </w:rPr>
            </w:pPr>
          </w:p>
          <w:p w:rsidR="008B2621" w:rsidRPr="001F515A" w:rsidRDefault="008B2621" w:rsidP="001F515A">
            <w:pPr>
              <w:rPr>
                <w:rFonts w:ascii="Arial" w:hAnsi="Arial" w:cs="Arial"/>
                <w:szCs w:val="20"/>
                <w:lang w:eastAsia="en-US"/>
              </w:rPr>
            </w:pP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b/>
                <w:szCs w:val="20"/>
                <w:lang w:eastAsia="en-US"/>
              </w:rPr>
            </w:pPr>
            <w:r w:rsidRPr="001F515A">
              <w:rPr>
                <w:rFonts w:ascii="Arial" w:hAnsi="Arial" w:cs="Arial"/>
                <w:b/>
                <w:szCs w:val="20"/>
                <w:lang w:eastAsia="en-US"/>
              </w:rPr>
              <w:t>5. Assessment of Impact:</w:t>
            </w:r>
          </w:p>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D6522" w:rsidRPr="001F515A" w:rsidRDefault="001D6522" w:rsidP="001F515A">
            <w:pPr>
              <w:rPr>
                <w:rFonts w:ascii="Arial" w:hAnsi="Arial" w:cs="Arial"/>
                <w:b/>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Default="008B2621" w:rsidP="001F515A">
            <w:pPr>
              <w:rPr>
                <w:rFonts w:ascii="Arial" w:hAnsi="Arial" w:cs="Arial"/>
                <w:szCs w:val="20"/>
                <w:lang w:eastAsia="en-US"/>
              </w:rPr>
            </w:pPr>
            <w:r>
              <w:rPr>
                <w:rFonts w:ascii="Arial" w:hAnsi="Arial" w:cs="Arial"/>
                <w:szCs w:val="20"/>
                <w:lang w:eastAsia="en-US"/>
              </w:rPr>
              <w:t>The project is based on the need to fulfil the requirements of national legislation. A key consideration is to ensure that</w:t>
            </w:r>
            <w:r w:rsidR="00DF1136">
              <w:rPr>
                <w:rFonts w:ascii="Arial" w:hAnsi="Arial" w:cs="Arial"/>
                <w:szCs w:val="20"/>
                <w:lang w:eastAsia="en-US"/>
              </w:rPr>
              <w:t xml:space="preserve"> the statutory designation is made and advertised for 12 weeks.</w:t>
            </w:r>
            <w:r>
              <w:rPr>
                <w:rFonts w:ascii="Arial" w:hAnsi="Arial" w:cs="Arial"/>
                <w:szCs w:val="20"/>
                <w:lang w:eastAsia="en-US"/>
              </w:rPr>
              <w:t>.</w:t>
            </w:r>
          </w:p>
          <w:p w:rsidR="008B2621" w:rsidRDefault="008B2621" w:rsidP="001F515A">
            <w:pPr>
              <w:rPr>
                <w:rFonts w:ascii="Arial" w:hAnsi="Arial" w:cs="Arial"/>
                <w:szCs w:val="20"/>
                <w:lang w:eastAsia="en-US"/>
              </w:rPr>
            </w:pPr>
          </w:p>
          <w:p w:rsidR="008B2621" w:rsidRDefault="008B2621" w:rsidP="001F515A">
            <w:pPr>
              <w:rPr>
                <w:rFonts w:ascii="Arial" w:hAnsi="Arial" w:cs="Arial"/>
                <w:szCs w:val="20"/>
                <w:lang w:eastAsia="en-US"/>
              </w:rPr>
            </w:pPr>
            <w:r>
              <w:rPr>
                <w:rFonts w:ascii="Arial" w:hAnsi="Arial" w:cs="Arial"/>
                <w:szCs w:val="20"/>
                <w:lang w:eastAsia="en-US"/>
              </w:rPr>
              <w:t xml:space="preserve">Data gathered will assist in informing the impact on target groups such as landlords from BME groups, tenants, students and migrants. The levels of impact vary </w:t>
            </w:r>
            <w:r w:rsidR="004D6900">
              <w:rPr>
                <w:rFonts w:ascii="Arial" w:hAnsi="Arial" w:cs="Arial"/>
                <w:szCs w:val="20"/>
                <w:lang w:eastAsia="en-US"/>
              </w:rPr>
              <w:t>across each group with 25% of BME landlords operating HMOs, young people likely to access this type of accommodation, the increase in families living in HMOs and vulnerable groups being the key considerations.</w:t>
            </w:r>
          </w:p>
          <w:p w:rsidR="00E14BF6" w:rsidRDefault="00E14BF6" w:rsidP="001F515A">
            <w:pPr>
              <w:rPr>
                <w:rFonts w:ascii="Arial" w:hAnsi="Arial" w:cs="Arial"/>
                <w:szCs w:val="20"/>
                <w:lang w:eastAsia="en-US"/>
              </w:rPr>
            </w:pPr>
          </w:p>
          <w:p w:rsidR="00E14BF6" w:rsidRDefault="00E14BF6" w:rsidP="001F515A">
            <w:pPr>
              <w:rPr>
                <w:rFonts w:ascii="Arial" w:hAnsi="Arial" w:cs="Arial"/>
                <w:szCs w:val="20"/>
                <w:lang w:eastAsia="en-US"/>
              </w:rPr>
            </w:pPr>
          </w:p>
          <w:p w:rsidR="00E14BF6" w:rsidRPr="00E14BF6" w:rsidRDefault="00E14BF6" w:rsidP="00E14BF6">
            <w:pPr>
              <w:rPr>
                <w:rFonts w:ascii="Arial" w:hAnsi="Arial" w:cs="Arial"/>
                <w:szCs w:val="20"/>
                <w:lang w:eastAsia="en-US"/>
              </w:rPr>
            </w:pPr>
            <w:r w:rsidRPr="00E14BF6">
              <w:rPr>
                <w:rFonts w:ascii="Arial" w:hAnsi="Arial" w:cs="Arial"/>
                <w:szCs w:val="20"/>
                <w:lang w:eastAsia="en-US"/>
              </w:rPr>
              <w:t xml:space="preserve">In regulating </w:t>
            </w:r>
            <w:r>
              <w:rPr>
                <w:rFonts w:ascii="Arial" w:hAnsi="Arial" w:cs="Arial"/>
                <w:szCs w:val="20"/>
                <w:lang w:eastAsia="en-US"/>
              </w:rPr>
              <w:t>HMO</w:t>
            </w:r>
            <w:r w:rsidRPr="00E14BF6">
              <w:rPr>
                <w:rFonts w:ascii="Arial" w:hAnsi="Arial" w:cs="Arial"/>
                <w:szCs w:val="20"/>
                <w:lang w:eastAsia="en-US"/>
              </w:rPr>
              <w:t>s, owners and agents who are regulated against may feel that they have been adversely impacted upon. However there are no other ways in which the service could be provided that would achieve these aims without adverse impact. Ultimately, when working within the legislative framework, people have a right to legal redress should they feel that a decision was unfairly/unlawfully taken; this can be via an appeal process or the Council’s Complaints system.</w:t>
            </w:r>
          </w:p>
          <w:p w:rsidR="008B2621" w:rsidRDefault="008B2621" w:rsidP="001F515A">
            <w:pPr>
              <w:rPr>
                <w:rFonts w:ascii="Arial" w:hAnsi="Arial" w:cs="Arial"/>
                <w:szCs w:val="20"/>
                <w:lang w:eastAsia="en-US"/>
              </w:rPr>
            </w:pPr>
          </w:p>
          <w:p w:rsidR="008B2621" w:rsidRPr="001F515A" w:rsidRDefault="008B2621"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Pr="001F515A" w:rsidRDefault="00B50DE5" w:rsidP="00B50DE5">
            <w:pPr>
              <w:rPr>
                <w:rFonts w:ascii="Arial" w:hAnsi="Arial" w:cs="Arial"/>
                <w:szCs w:val="20"/>
                <w:lang w:eastAsia="en-US"/>
              </w:rPr>
            </w:pPr>
            <w:r>
              <w:rPr>
                <w:rFonts w:ascii="Arial" w:hAnsi="Arial" w:cs="Arial"/>
                <w:szCs w:val="20"/>
                <w:lang w:eastAsia="en-US"/>
              </w:rPr>
              <w:t>The key groups that are likely to affected by these proposals have been identified and a consultation project developed to address the implications of the scheme. The proposed approach to consultation has been set out by the recent PIB report and approved. The report setting out recommendations will be considered by CEB and if approved the consultation will be conducted in accordance with the project plan approved.</w:t>
            </w:r>
          </w:p>
        </w:tc>
      </w:tr>
      <w:tr w:rsidR="001D6522" w:rsidRPr="001F515A" w:rsidTr="009E13FC">
        <w:tc>
          <w:tcPr>
            <w:tcW w:w="4484" w:type="dxa"/>
            <w:gridSpan w:val="4"/>
          </w:tcPr>
          <w:p w:rsidR="001D6522" w:rsidRPr="001F515A" w:rsidRDefault="001D6522" w:rsidP="001F515A">
            <w:pPr>
              <w:rPr>
                <w:rFonts w:ascii="Arial" w:hAnsi="Arial" w:cs="Arial"/>
                <w:b/>
                <w:snapToGrid w:val="0"/>
                <w:color w:val="000000"/>
                <w:szCs w:val="20"/>
                <w:lang w:eastAsia="en-US"/>
              </w:rPr>
            </w:pPr>
          </w:p>
          <w:p w:rsidR="001D6522" w:rsidRPr="001F515A" w:rsidRDefault="001D6522"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D6522" w:rsidRPr="001F515A" w:rsidRDefault="001D6522" w:rsidP="001F515A">
            <w:pPr>
              <w:rPr>
                <w:rFonts w:ascii="Arial" w:hAnsi="Arial" w:cs="Arial"/>
                <w:snapToGrid w:val="0"/>
                <w:color w:val="000000"/>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Default="00E14BF6" w:rsidP="001F515A">
            <w:pPr>
              <w:rPr>
                <w:rFonts w:ascii="Arial" w:hAnsi="Arial" w:cs="Arial"/>
                <w:szCs w:val="20"/>
                <w:lang w:eastAsia="en-US"/>
              </w:rPr>
            </w:pPr>
            <w:r>
              <w:rPr>
                <w:rFonts w:ascii="Arial" w:hAnsi="Arial" w:cs="Arial"/>
                <w:szCs w:val="20"/>
                <w:lang w:eastAsia="en-US"/>
              </w:rPr>
              <w:t xml:space="preserve">The fee and charges structure associated with licensing of HMOs </w:t>
            </w:r>
            <w:r w:rsidR="00DF1136">
              <w:rPr>
                <w:rFonts w:ascii="Arial" w:hAnsi="Arial" w:cs="Arial"/>
                <w:szCs w:val="20"/>
                <w:lang w:eastAsia="en-US"/>
              </w:rPr>
              <w:t xml:space="preserve">has been </w:t>
            </w:r>
            <w:r>
              <w:rPr>
                <w:rFonts w:ascii="Arial" w:hAnsi="Arial" w:cs="Arial"/>
                <w:szCs w:val="20"/>
                <w:lang w:eastAsia="en-US"/>
              </w:rPr>
              <w:t xml:space="preserve">reviewed </w:t>
            </w:r>
            <w:r w:rsidR="00DF1136">
              <w:rPr>
                <w:rFonts w:ascii="Arial" w:hAnsi="Arial" w:cs="Arial"/>
                <w:szCs w:val="20"/>
                <w:lang w:eastAsia="en-US"/>
              </w:rPr>
              <w:t>following the consultation and developed taking account of the</w:t>
            </w:r>
            <w:r>
              <w:rPr>
                <w:rFonts w:ascii="Arial" w:hAnsi="Arial" w:cs="Arial"/>
                <w:szCs w:val="20"/>
                <w:lang w:eastAsia="en-US"/>
              </w:rPr>
              <w:t xml:space="preserve"> impact this has on landlords generally. </w:t>
            </w:r>
          </w:p>
          <w:p w:rsidR="00E14BF6" w:rsidRDefault="00E14BF6" w:rsidP="001F515A">
            <w:pPr>
              <w:rPr>
                <w:rFonts w:ascii="Arial" w:hAnsi="Arial" w:cs="Arial"/>
                <w:szCs w:val="20"/>
                <w:lang w:eastAsia="en-US"/>
              </w:rPr>
            </w:pPr>
          </w:p>
          <w:p w:rsidR="00E14BF6" w:rsidRPr="00E14BF6" w:rsidRDefault="00E14BF6" w:rsidP="001F515A">
            <w:pPr>
              <w:rPr>
                <w:rFonts w:ascii="Arial" w:hAnsi="Arial" w:cs="Arial"/>
                <w:szCs w:val="20"/>
                <w:lang w:eastAsia="en-US"/>
              </w:rPr>
            </w:pPr>
            <w:r>
              <w:rPr>
                <w:rFonts w:ascii="Arial" w:hAnsi="Arial" w:cs="Arial"/>
                <w:szCs w:val="20"/>
                <w:lang w:eastAsia="en-US"/>
              </w:rPr>
              <w:t>When enforcement activity is carried out each case is reviewed to ensure that the Council is being fair, consistent and proportionate in its approach. This review ensures that the impact of particular groups is monitored. Feedback is also obtained from relevant groups.</w:t>
            </w:r>
          </w:p>
        </w:tc>
      </w:tr>
      <w:tr w:rsidR="00E14BF6" w:rsidRPr="001F515A" w:rsidTr="009E13FC">
        <w:tc>
          <w:tcPr>
            <w:tcW w:w="4484" w:type="dxa"/>
            <w:gridSpan w:val="4"/>
          </w:tcPr>
          <w:p w:rsidR="00E14BF6" w:rsidRPr="001F515A" w:rsidRDefault="00E14BF6" w:rsidP="001F515A">
            <w:pPr>
              <w:rPr>
                <w:rFonts w:ascii="Arial" w:hAnsi="Arial" w:cs="Arial"/>
                <w:b/>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E14BF6" w:rsidRPr="001F515A" w:rsidRDefault="00E14BF6" w:rsidP="001F515A">
            <w:pPr>
              <w:rPr>
                <w:rFonts w:ascii="Arial" w:hAnsi="Arial" w:cs="Arial"/>
                <w:szCs w:val="20"/>
                <w:lang w:eastAsia="en-US"/>
              </w:rPr>
            </w:pPr>
          </w:p>
        </w:tc>
        <w:tc>
          <w:tcPr>
            <w:tcW w:w="10915" w:type="dxa"/>
            <w:gridSpan w:val="10"/>
          </w:tcPr>
          <w:p w:rsidR="00E14BF6" w:rsidRPr="003B4F7F" w:rsidRDefault="00E14BF6" w:rsidP="00637A6F">
            <w:pPr>
              <w:rPr>
                <w:rFonts w:ascii="Arial" w:hAnsi="Arial"/>
              </w:rPr>
            </w:pPr>
          </w:p>
        </w:tc>
      </w:tr>
      <w:tr w:rsidR="00E14BF6" w:rsidRPr="001F515A" w:rsidTr="009E13FC">
        <w:tc>
          <w:tcPr>
            <w:tcW w:w="4484" w:type="dxa"/>
            <w:gridSpan w:val="4"/>
          </w:tcPr>
          <w:p w:rsidR="00E14BF6" w:rsidRPr="001F515A" w:rsidRDefault="00E14BF6" w:rsidP="001F515A">
            <w:pPr>
              <w:rPr>
                <w:rFonts w:ascii="Arial" w:hAnsi="Arial" w:cs="Arial"/>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E14BF6" w:rsidRPr="001F515A" w:rsidRDefault="00E14BF6" w:rsidP="001F515A">
            <w:pPr>
              <w:rPr>
                <w:rFonts w:ascii="Arial" w:hAnsi="Arial" w:cs="Arial"/>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E14BF6" w:rsidRPr="001F515A" w:rsidRDefault="00E14BF6" w:rsidP="001F515A">
            <w:pPr>
              <w:rPr>
                <w:rFonts w:ascii="Arial" w:hAnsi="Arial" w:cs="Arial"/>
                <w:szCs w:val="20"/>
                <w:lang w:eastAsia="en-US"/>
              </w:rPr>
            </w:pPr>
          </w:p>
        </w:tc>
        <w:tc>
          <w:tcPr>
            <w:tcW w:w="10915" w:type="dxa"/>
            <w:gridSpan w:val="10"/>
          </w:tcPr>
          <w:p w:rsidR="00E14BF6" w:rsidRPr="003B4F7F" w:rsidRDefault="00A00CEF" w:rsidP="00A00CEF">
            <w:pPr>
              <w:rPr>
                <w:rFonts w:ascii="Arial" w:hAnsi="Arial"/>
              </w:rPr>
            </w:pPr>
            <w:r>
              <w:rPr>
                <w:rFonts w:ascii="Arial" w:hAnsi="Arial"/>
              </w:rPr>
              <w:t>Additional licensing remains a viable option for the City and is the best course of action for deal</w:t>
            </w:r>
            <w:bookmarkStart w:id="0" w:name="_GoBack"/>
            <w:bookmarkEnd w:id="0"/>
            <w:r>
              <w:rPr>
                <w:rFonts w:ascii="Arial" w:hAnsi="Arial"/>
              </w:rPr>
              <w:t>ing with the problems associated with HMOs in Oxford.</w:t>
            </w:r>
          </w:p>
        </w:tc>
      </w:tr>
      <w:tr w:rsidR="00E14BF6" w:rsidRPr="001F515A" w:rsidTr="009E13FC">
        <w:trPr>
          <w:gridAfter w:val="1"/>
          <w:wAfter w:w="29" w:type="dxa"/>
          <w:cantSplit/>
          <w:trHeight w:val="1000"/>
        </w:trPr>
        <w:tc>
          <w:tcPr>
            <w:tcW w:w="3369" w:type="dxa"/>
            <w:gridSpan w:val="3"/>
            <w:vAlign w:val="center"/>
          </w:tcPr>
          <w:p w:rsidR="00E14BF6" w:rsidRPr="001F515A" w:rsidRDefault="00E14BF6"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115" w:type="dxa"/>
            <w:vAlign w:val="center"/>
          </w:tcPr>
          <w:p w:rsidR="00E14BF6" w:rsidRPr="001F515A" w:rsidRDefault="00E14BF6" w:rsidP="001F515A">
            <w:pPr>
              <w:jc w:val="center"/>
              <w:rPr>
                <w:rFonts w:ascii="Arial" w:hAnsi="Arial" w:cs="Arial"/>
                <w:bCs/>
                <w:szCs w:val="20"/>
                <w:lang w:eastAsia="en-US"/>
              </w:rPr>
            </w:pPr>
            <w:r w:rsidRPr="001F515A">
              <w:rPr>
                <w:rFonts w:ascii="Arial" w:hAnsi="Arial" w:cs="Arial"/>
                <w:bCs/>
                <w:szCs w:val="20"/>
                <w:lang w:eastAsia="en-US"/>
              </w:rPr>
              <w:t>YES</w:t>
            </w:r>
          </w:p>
        </w:tc>
        <w:tc>
          <w:tcPr>
            <w:tcW w:w="1080" w:type="dxa"/>
            <w:vAlign w:val="center"/>
          </w:tcPr>
          <w:p w:rsidR="00E14BF6" w:rsidRPr="001F515A" w:rsidRDefault="00E14BF6" w:rsidP="001F515A">
            <w:pPr>
              <w:jc w:val="center"/>
              <w:rPr>
                <w:rFonts w:ascii="Arial" w:hAnsi="Arial" w:cs="Arial"/>
                <w:bCs/>
                <w:szCs w:val="20"/>
                <w:lang w:eastAsia="en-US"/>
              </w:rPr>
            </w:pPr>
          </w:p>
        </w:tc>
        <w:tc>
          <w:tcPr>
            <w:tcW w:w="3180" w:type="dxa"/>
            <w:gridSpan w:val="3"/>
            <w:vAlign w:val="center"/>
          </w:tcPr>
          <w:p w:rsidR="00E14BF6" w:rsidRPr="001F515A" w:rsidRDefault="00E14BF6"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14BF6" w:rsidRPr="001F515A" w:rsidRDefault="00E14BF6" w:rsidP="001F515A">
            <w:pPr>
              <w:rPr>
                <w:rFonts w:ascii="Arial" w:hAnsi="Arial" w:cs="Arial"/>
                <w:szCs w:val="20"/>
                <w:lang w:eastAsia="en-US"/>
              </w:rPr>
            </w:pPr>
            <w:r>
              <w:rPr>
                <w:rFonts w:ascii="Arial" w:hAnsi="Arial" w:cs="Arial"/>
                <w:szCs w:val="20"/>
                <w:lang w:eastAsia="en-US"/>
              </w:rPr>
              <w:t>2015/2016</w:t>
            </w:r>
          </w:p>
        </w:tc>
        <w:tc>
          <w:tcPr>
            <w:tcW w:w="2409" w:type="dxa"/>
            <w:gridSpan w:val="2"/>
            <w:vAlign w:val="center"/>
          </w:tcPr>
          <w:p w:rsidR="00E14BF6" w:rsidRPr="001F515A" w:rsidRDefault="00E14BF6"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14BF6" w:rsidRPr="001F515A" w:rsidRDefault="00E14BF6" w:rsidP="001F515A">
            <w:pPr>
              <w:rPr>
                <w:rFonts w:ascii="Arial" w:hAnsi="Arial" w:cs="Arial"/>
                <w:b/>
                <w:szCs w:val="20"/>
                <w:lang w:eastAsia="en-US"/>
              </w:rPr>
            </w:pPr>
          </w:p>
        </w:tc>
        <w:tc>
          <w:tcPr>
            <w:tcW w:w="1418" w:type="dxa"/>
            <w:vAlign w:val="center"/>
          </w:tcPr>
          <w:p w:rsidR="00E14BF6" w:rsidRPr="001F515A" w:rsidRDefault="00E14BF6" w:rsidP="001F515A">
            <w:pPr>
              <w:rPr>
                <w:rFonts w:ascii="Arial" w:hAnsi="Arial" w:cs="Arial"/>
                <w:szCs w:val="20"/>
                <w:lang w:eastAsia="en-US"/>
              </w:rPr>
            </w:pPr>
          </w:p>
        </w:tc>
      </w:tr>
      <w:tr w:rsidR="00E14BF6" w:rsidRPr="001F515A" w:rsidTr="009E13FC">
        <w:trPr>
          <w:gridAfter w:val="1"/>
          <w:wAfter w:w="29" w:type="dxa"/>
          <w:cantSplit/>
          <w:trHeight w:val="1000"/>
        </w:trPr>
        <w:tc>
          <w:tcPr>
            <w:tcW w:w="3369" w:type="dxa"/>
            <w:gridSpan w:val="3"/>
            <w:vAlign w:val="center"/>
          </w:tcPr>
          <w:p w:rsidR="00E14BF6" w:rsidRPr="001F515A" w:rsidRDefault="00E14BF6"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115" w:type="dxa"/>
            <w:vAlign w:val="center"/>
          </w:tcPr>
          <w:p w:rsidR="00E14BF6" w:rsidRPr="001F515A" w:rsidRDefault="00E14BF6" w:rsidP="001F515A">
            <w:pPr>
              <w:jc w:val="center"/>
              <w:rPr>
                <w:rFonts w:ascii="Arial" w:hAnsi="Arial" w:cs="Arial"/>
                <w:b/>
                <w:szCs w:val="20"/>
                <w:lang w:eastAsia="en-US"/>
              </w:rPr>
            </w:pPr>
          </w:p>
        </w:tc>
        <w:tc>
          <w:tcPr>
            <w:tcW w:w="1080" w:type="dxa"/>
            <w:vAlign w:val="center"/>
          </w:tcPr>
          <w:p w:rsidR="00E14BF6" w:rsidRPr="001F515A" w:rsidRDefault="00E14BF6" w:rsidP="001F515A">
            <w:pPr>
              <w:jc w:val="center"/>
              <w:rPr>
                <w:rFonts w:ascii="Arial" w:hAnsi="Arial" w:cs="Arial"/>
                <w:b/>
                <w:szCs w:val="20"/>
                <w:lang w:eastAsia="en-US"/>
              </w:rPr>
            </w:pPr>
          </w:p>
        </w:tc>
        <w:tc>
          <w:tcPr>
            <w:tcW w:w="3180" w:type="dxa"/>
            <w:gridSpan w:val="3"/>
            <w:vAlign w:val="center"/>
          </w:tcPr>
          <w:p w:rsidR="00E14BF6" w:rsidRPr="001F515A" w:rsidRDefault="00E14BF6"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14BF6" w:rsidRPr="001F515A" w:rsidRDefault="00E14BF6" w:rsidP="001F515A">
            <w:pPr>
              <w:rPr>
                <w:rFonts w:ascii="Arial" w:hAnsi="Arial" w:cs="Arial"/>
                <w:szCs w:val="20"/>
                <w:lang w:eastAsia="en-US"/>
              </w:rPr>
            </w:pPr>
          </w:p>
        </w:tc>
        <w:tc>
          <w:tcPr>
            <w:tcW w:w="2409" w:type="dxa"/>
            <w:gridSpan w:val="2"/>
            <w:vAlign w:val="center"/>
          </w:tcPr>
          <w:p w:rsidR="00E14BF6" w:rsidRPr="001F515A" w:rsidRDefault="00E14BF6"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14BF6" w:rsidRPr="001F515A" w:rsidRDefault="00E14BF6" w:rsidP="001F515A">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lang w:eastAsia="en-US"/>
        </w:rPr>
      </w:pPr>
      <w:r w:rsidRPr="001F515A">
        <w:rPr>
          <w:rFonts w:ascii="Arial" w:hAnsi="Arial" w:cs="Arial"/>
          <w:lang w:eastAsia="en-US"/>
        </w:rPr>
        <w:t>Organisational Development &amp; Learning Advisor/ Equalities</w:t>
      </w:r>
    </w:p>
    <w:p w:rsidR="001F515A" w:rsidRDefault="001F515A" w:rsidP="00B21479"/>
    <w:p w:rsidR="001F515A" w:rsidRDefault="001F515A" w:rsidP="00B21479"/>
    <w:p w:rsidR="00B21479" w:rsidRPr="008A22C6" w:rsidRDefault="00B21479" w:rsidP="00B21479"/>
    <w:sectPr w:rsidR="00B21479" w:rsidRPr="008A22C6" w:rsidSect="001F515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21" w:rsidRDefault="008B2621" w:rsidP="00B21479">
      <w:r>
        <w:separator/>
      </w:r>
    </w:p>
  </w:endnote>
  <w:endnote w:type="continuationSeparator" w:id="0">
    <w:p w:rsidR="008B2621" w:rsidRDefault="008B2621"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Pr="000B0D2A" w:rsidRDefault="008B2621"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A00CEF">
      <w:rPr>
        <w:rFonts w:ascii="Arial" w:hAnsi="Arial" w:cs="Arial"/>
        <w:b/>
        <w:bCs/>
        <w:noProof/>
        <w:sz w:val="20"/>
        <w:szCs w:val="20"/>
      </w:rPr>
      <w:t>5</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A00CEF">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21" w:rsidRDefault="008B2621" w:rsidP="00B21479">
      <w:r>
        <w:separator/>
      </w:r>
    </w:p>
  </w:footnote>
  <w:footnote w:type="continuationSeparator" w:id="0">
    <w:p w:rsidR="008B2621" w:rsidRDefault="008B2621"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FC"/>
    <w:rsid w:val="000B0D2A"/>
    <w:rsid w:val="000B4310"/>
    <w:rsid w:val="00111DE0"/>
    <w:rsid w:val="001D6522"/>
    <w:rsid w:val="001F515A"/>
    <w:rsid w:val="0030670D"/>
    <w:rsid w:val="004000D7"/>
    <w:rsid w:val="00435B48"/>
    <w:rsid w:val="004467C6"/>
    <w:rsid w:val="004D6900"/>
    <w:rsid w:val="00504E43"/>
    <w:rsid w:val="007908F4"/>
    <w:rsid w:val="008A22C6"/>
    <w:rsid w:val="008B2621"/>
    <w:rsid w:val="009344AE"/>
    <w:rsid w:val="00983205"/>
    <w:rsid w:val="00993408"/>
    <w:rsid w:val="009E13FC"/>
    <w:rsid w:val="00A00CEF"/>
    <w:rsid w:val="00B00D85"/>
    <w:rsid w:val="00B21479"/>
    <w:rsid w:val="00B50DE5"/>
    <w:rsid w:val="00C07F80"/>
    <w:rsid w:val="00CE1DAB"/>
    <w:rsid w:val="00D55026"/>
    <w:rsid w:val="00DF1136"/>
    <w:rsid w:val="00E14BF6"/>
    <w:rsid w:val="00E4463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HMO%20Enforcement%20Team\HMO%20Licensing\Licensing%20review\Full%20Equalities%20Impact%20Assessment%20Form_3028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E53A-9724-4F44-BE0D-8D5CFFF9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Form_3028_V1.0</Template>
  <TotalTime>1</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adrian.chowns</dc:creator>
  <cp:lastModifiedBy>adrian.chowns</cp:lastModifiedBy>
  <cp:revision>2</cp:revision>
  <cp:lastPrinted>2015-05-05T15:17:00Z</cp:lastPrinted>
  <dcterms:created xsi:type="dcterms:W3CDTF">2015-09-11T10:07:00Z</dcterms:created>
  <dcterms:modified xsi:type="dcterms:W3CDTF">2015-09-11T10:07:00Z</dcterms:modified>
</cp:coreProperties>
</file>